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70185F">
        <w:rPr>
          <w:sz w:val="22"/>
          <w:szCs w:val="22"/>
        </w:rPr>
        <w:t>№</w:t>
      </w:r>
      <w:r w:rsidR="007E467D" w:rsidRPr="0070185F">
        <w:rPr>
          <w:sz w:val="22"/>
          <w:szCs w:val="22"/>
        </w:rPr>
        <w:t>21066000</w:t>
      </w:r>
      <w:r w:rsidR="0070185F" w:rsidRPr="0070185F">
        <w:rPr>
          <w:sz w:val="22"/>
          <w:szCs w:val="22"/>
        </w:rPr>
        <w:t>006</w:t>
      </w:r>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r w:rsidR="0061344F" w:rsidRPr="00607862">
        <w:t>расходных материалов для анализатора для ХТИ</w:t>
      </w:r>
      <w:r w:rsidR="0061344F" w:rsidRPr="004A7484">
        <w:rPr>
          <w:b/>
          <w:sz w:val="22"/>
          <w:szCs w:val="22"/>
        </w:rPr>
        <w:t xml:space="preserve"> </w:t>
      </w:r>
    </w:p>
    <w:p w:rsidR="0061344F" w:rsidRDefault="0061344F" w:rsidP="0061344F">
      <w:pPr>
        <w:contextualSpacing/>
        <w:jc w:val="center"/>
        <w:rPr>
          <w:b/>
          <w:sz w:val="22"/>
          <w:szCs w:val="22"/>
        </w:rPr>
      </w:pP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proofErr w:type="spellStart"/>
      <w:r w:rsidR="0061344F">
        <w:rPr>
          <w:sz w:val="22"/>
          <w:szCs w:val="22"/>
        </w:rPr>
        <w:t>Кулембетова</w:t>
      </w:r>
      <w:proofErr w:type="spellEnd"/>
      <w:r w:rsidR="002D269A">
        <w:rPr>
          <w:sz w:val="22"/>
          <w:szCs w:val="22"/>
        </w:rPr>
        <w:t xml:space="preserve"> </w:t>
      </w:r>
      <w:proofErr w:type="spellStart"/>
      <w:r w:rsidR="002D269A">
        <w:rPr>
          <w:sz w:val="22"/>
          <w:szCs w:val="22"/>
        </w:rPr>
        <w:t>Гю</w:t>
      </w:r>
      <w:r w:rsidR="0061344F">
        <w:rPr>
          <w:sz w:val="22"/>
          <w:szCs w:val="22"/>
        </w:rPr>
        <w:t>зель</w:t>
      </w:r>
      <w:proofErr w:type="spellEnd"/>
      <w:r w:rsidR="0061344F">
        <w:rPr>
          <w:sz w:val="22"/>
          <w:szCs w:val="22"/>
        </w:rPr>
        <w:t xml:space="preserve"> </w:t>
      </w:r>
      <w:proofErr w:type="spellStart"/>
      <w:r w:rsidR="0061344F">
        <w:rPr>
          <w:sz w:val="22"/>
          <w:szCs w:val="22"/>
        </w:rPr>
        <w:t>Анваровна</w:t>
      </w:r>
      <w:proofErr w:type="spellEnd"/>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BB02E1" w:rsidRPr="003D7A1E" w:rsidTr="007107CA">
        <w:trPr>
          <w:trHeight w:val="600"/>
        </w:trPr>
        <w:tc>
          <w:tcPr>
            <w:tcW w:w="720" w:type="dxa"/>
            <w:shd w:val="clear" w:color="auto" w:fill="auto"/>
            <w:noWrap/>
            <w:vAlign w:val="center"/>
            <w:hideMark/>
          </w:tcPr>
          <w:p w:rsidR="00BB02E1" w:rsidRPr="003D7A1E" w:rsidRDefault="00BB02E1" w:rsidP="007107CA">
            <w:pPr>
              <w:jc w:val="center"/>
              <w:rPr>
                <w:color w:val="000000" w:themeColor="text1"/>
              </w:rPr>
            </w:pPr>
            <w:r w:rsidRPr="003D7A1E">
              <w:rPr>
                <w:color w:val="000000" w:themeColor="text1"/>
              </w:rPr>
              <w:t>1</w:t>
            </w:r>
          </w:p>
        </w:tc>
        <w:tc>
          <w:tcPr>
            <w:tcW w:w="10260" w:type="dxa"/>
            <w:shd w:val="clear" w:color="auto" w:fill="auto"/>
            <w:vAlign w:val="center"/>
            <w:hideMark/>
          </w:tcPr>
          <w:p w:rsidR="00BB02E1" w:rsidRPr="003D7A1E" w:rsidRDefault="00BB02E1" w:rsidP="007107CA">
            <w:pPr>
              <w:shd w:val="clear" w:color="auto" w:fill="FFFFFF"/>
              <w:spacing w:after="100"/>
              <w:rPr>
                <w:color w:val="000000" w:themeColor="text1"/>
                <w:sz w:val="23"/>
                <w:szCs w:val="23"/>
              </w:rPr>
            </w:pPr>
            <w:r w:rsidRPr="003D7A1E">
              <w:rPr>
                <w:color w:val="000000" w:themeColor="text1"/>
                <w:sz w:val="21"/>
                <w:szCs w:val="21"/>
                <w:shd w:val="clear" w:color="auto" w:fill="F7F8FA"/>
              </w:rPr>
              <w:t xml:space="preserve">Реагент диагностический - </w:t>
            </w:r>
            <w:proofErr w:type="spellStart"/>
            <w:r w:rsidRPr="003D7A1E">
              <w:rPr>
                <w:color w:val="000000" w:themeColor="text1"/>
                <w:sz w:val="21"/>
                <w:szCs w:val="21"/>
                <w:shd w:val="clear" w:color="auto" w:fill="F7F8FA"/>
              </w:rPr>
              <w:t>имуннохроматографический</w:t>
            </w:r>
            <w:proofErr w:type="spellEnd"/>
            <w:r w:rsidRPr="003D7A1E">
              <w:rPr>
                <w:color w:val="000000" w:themeColor="text1"/>
                <w:sz w:val="21"/>
                <w:szCs w:val="21"/>
                <w:shd w:val="clear" w:color="auto" w:fill="F7F8FA"/>
              </w:rPr>
              <w:t xml:space="preserve"> тест, R1 IK200609 (</w:t>
            </w:r>
            <w:proofErr w:type="spellStart"/>
            <w:r w:rsidRPr="003D7A1E">
              <w:rPr>
                <w:color w:val="000000" w:themeColor="text1"/>
                <w:sz w:val="21"/>
                <w:szCs w:val="21"/>
                <w:shd w:val="clear" w:color="auto" w:fill="F7F8FA"/>
              </w:rPr>
              <w:t>Каннабиноиды</w:t>
            </w:r>
            <w:proofErr w:type="spellEnd"/>
            <w:r w:rsidRPr="003D7A1E">
              <w:rPr>
                <w:color w:val="000000" w:themeColor="text1"/>
                <w:sz w:val="21"/>
                <w:szCs w:val="21"/>
                <w:shd w:val="clear" w:color="auto" w:fill="F7F8FA"/>
              </w:rPr>
              <w:t xml:space="preserve"> (ТНС), Опиаты (OPI), </w:t>
            </w:r>
            <w:proofErr w:type="spellStart"/>
            <w:r w:rsidRPr="003D7A1E">
              <w:rPr>
                <w:color w:val="000000" w:themeColor="text1"/>
                <w:sz w:val="21"/>
                <w:szCs w:val="21"/>
                <w:shd w:val="clear" w:color="auto" w:fill="F7F8FA"/>
              </w:rPr>
              <w:t>Амфетамины</w:t>
            </w:r>
            <w:proofErr w:type="spellEnd"/>
            <w:r w:rsidRPr="003D7A1E">
              <w:rPr>
                <w:color w:val="000000" w:themeColor="text1"/>
                <w:sz w:val="21"/>
                <w:szCs w:val="21"/>
                <w:shd w:val="clear" w:color="auto" w:fill="F7F8FA"/>
              </w:rPr>
              <w:t xml:space="preserve"> (АМР))-500шт</w:t>
            </w:r>
          </w:p>
          <w:p w:rsidR="00BB02E1" w:rsidRPr="003D7A1E" w:rsidRDefault="00BB02E1" w:rsidP="007107CA">
            <w:pPr>
              <w:rPr>
                <w:color w:val="000000" w:themeColor="text1"/>
              </w:rPr>
            </w:pPr>
          </w:p>
        </w:tc>
        <w:tc>
          <w:tcPr>
            <w:tcW w:w="940" w:type="dxa"/>
            <w:shd w:val="clear" w:color="auto" w:fill="auto"/>
            <w:noWrap/>
            <w:vAlign w:val="center"/>
            <w:hideMark/>
          </w:tcPr>
          <w:p w:rsidR="00BB02E1" w:rsidRPr="003D7A1E" w:rsidRDefault="00BB02E1" w:rsidP="007107CA">
            <w:pPr>
              <w:jc w:val="center"/>
              <w:rPr>
                <w:color w:val="000000" w:themeColor="text1"/>
              </w:rPr>
            </w:pPr>
            <w:r>
              <w:rPr>
                <w:color w:val="000000" w:themeColor="text1"/>
              </w:rPr>
              <w:t>160</w:t>
            </w:r>
            <w:r w:rsidRPr="003D7A1E">
              <w:rPr>
                <w:color w:val="000000" w:themeColor="text1"/>
              </w:rPr>
              <w:t>0</w:t>
            </w:r>
          </w:p>
        </w:tc>
        <w:tc>
          <w:tcPr>
            <w:tcW w:w="940" w:type="dxa"/>
            <w:shd w:val="clear" w:color="auto" w:fill="auto"/>
            <w:noWrap/>
            <w:vAlign w:val="center"/>
            <w:hideMark/>
          </w:tcPr>
          <w:p w:rsidR="00BB02E1" w:rsidRPr="003D7A1E" w:rsidRDefault="00BB02E1" w:rsidP="007107CA">
            <w:pPr>
              <w:jc w:val="center"/>
              <w:rPr>
                <w:color w:val="000000" w:themeColor="text1"/>
              </w:rPr>
            </w:pPr>
            <w:proofErr w:type="spellStart"/>
            <w:proofErr w:type="gramStart"/>
            <w:r w:rsidRPr="003D7A1E">
              <w:rPr>
                <w:color w:val="000000" w:themeColor="text1"/>
              </w:rPr>
              <w:t>шт</w:t>
            </w:r>
            <w:proofErr w:type="spellEnd"/>
            <w:proofErr w:type="gramEnd"/>
          </w:p>
        </w:tc>
      </w:tr>
      <w:tr w:rsidR="00BB02E1" w:rsidRPr="003D7A1E" w:rsidTr="007107CA">
        <w:trPr>
          <w:trHeight w:val="600"/>
        </w:trPr>
        <w:tc>
          <w:tcPr>
            <w:tcW w:w="720" w:type="dxa"/>
            <w:shd w:val="clear" w:color="auto" w:fill="auto"/>
            <w:noWrap/>
            <w:vAlign w:val="center"/>
            <w:hideMark/>
          </w:tcPr>
          <w:p w:rsidR="00BB02E1" w:rsidRPr="003D7A1E" w:rsidRDefault="00BB02E1" w:rsidP="007107CA">
            <w:pPr>
              <w:jc w:val="center"/>
              <w:rPr>
                <w:color w:val="000000" w:themeColor="text1"/>
              </w:rPr>
            </w:pPr>
            <w:r w:rsidRPr="003D7A1E">
              <w:rPr>
                <w:color w:val="000000" w:themeColor="text1"/>
              </w:rPr>
              <w:t>2</w:t>
            </w:r>
          </w:p>
        </w:tc>
        <w:tc>
          <w:tcPr>
            <w:tcW w:w="10260" w:type="dxa"/>
            <w:shd w:val="clear" w:color="auto" w:fill="auto"/>
            <w:vAlign w:val="center"/>
            <w:hideMark/>
          </w:tcPr>
          <w:p w:rsidR="00BB02E1" w:rsidRPr="003D7A1E" w:rsidRDefault="00BB02E1" w:rsidP="007107CA">
            <w:pPr>
              <w:shd w:val="clear" w:color="auto" w:fill="FFFFFF"/>
              <w:spacing w:after="100"/>
              <w:rPr>
                <w:color w:val="000000" w:themeColor="text1"/>
                <w:sz w:val="23"/>
                <w:szCs w:val="23"/>
              </w:rPr>
            </w:pPr>
            <w:r w:rsidRPr="003D7A1E">
              <w:rPr>
                <w:color w:val="000000" w:themeColor="text1"/>
                <w:sz w:val="21"/>
                <w:szCs w:val="21"/>
              </w:rPr>
              <w:t xml:space="preserve">Реагент диагностический - </w:t>
            </w:r>
            <w:proofErr w:type="spellStart"/>
            <w:r w:rsidRPr="003D7A1E">
              <w:rPr>
                <w:color w:val="000000" w:themeColor="text1"/>
                <w:sz w:val="21"/>
                <w:szCs w:val="21"/>
              </w:rPr>
              <w:t>имуннохроматографический</w:t>
            </w:r>
            <w:proofErr w:type="spellEnd"/>
            <w:r w:rsidRPr="003D7A1E">
              <w:rPr>
                <w:color w:val="000000" w:themeColor="text1"/>
                <w:sz w:val="21"/>
                <w:szCs w:val="21"/>
              </w:rPr>
              <w:t xml:space="preserve"> тест, R1 IK200609 (</w:t>
            </w:r>
            <w:proofErr w:type="spellStart"/>
            <w:r w:rsidRPr="003D7A1E">
              <w:rPr>
                <w:color w:val="000000" w:themeColor="text1"/>
                <w:sz w:val="21"/>
                <w:szCs w:val="21"/>
              </w:rPr>
              <w:t>Коакаин</w:t>
            </w:r>
            <w:proofErr w:type="spellEnd"/>
            <w:r w:rsidRPr="003D7A1E">
              <w:rPr>
                <w:color w:val="000000" w:themeColor="text1"/>
                <w:sz w:val="21"/>
                <w:szCs w:val="21"/>
              </w:rPr>
              <w:t xml:space="preserve"> (COC), </w:t>
            </w:r>
            <w:proofErr w:type="spellStart"/>
            <w:r w:rsidRPr="003D7A1E">
              <w:rPr>
                <w:color w:val="000000" w:themeColor="text1"/>
                <w:sz w:val="21"/>
                <w:szCs w:val="21"/>
              </w:rPr>
              <w:t>Метамфетамин</w:t>
            </w:r>
            <w:proofErr w:type="spellEnd"/>
            <w:r w:rsidRPr="003D7A1E">
              <w:rPr>
                <w:color w:val="000000" w:themeColor="text1"/>
                <w:sz w:val="21"/>
                <w:szCs w:val="21"/>
              </w:rPr>
              <w:t>(</w:t>
            </w:r>
            <w:proofErr w:type="spellStart"/>
            <w:r w:rsidRPr="003D7A1E">
              <w:rPr>
                <w:color w:val="000000" w:themeColor="text1"/>
                <w:sz w:val="21"/>
                <w:szCs w:val="21"/>
              </w:rPr>
              <w:t>mAMP</w:t>
            </w:r>
            <w:proofErr w:type="spellEnd"/>
            <w:r w:rsidRPr="003D7A1E">
              <w:rPr>
                <w:color w:val="000000" w:themeColor="text1"/>
                <w:sz w:val="21"/>
                <w:szCs w:val="21"/>
              </w:rPr>
              <w:t xml:space="preserve">), </w:t>
            </w:r>
            <w:proofErr w:type="spellStart"/>
            <w:r w:rsidRPr="003D7A1E">
              <w:rPr>
                <w:color w:val="000000" w:themeColor="text1"/>
                <w:sz w:val="21"/>
                <w:szCs w:val="21"/>
              </w:rPr>
              <w:t>Бензодиазепины</w:t>
            </w:r>
            <w:proofErr w:type="spellEnd"/>
            <w:r w:rsidRPr="003D7A1E">
              <w:rPr>
                <w:color w:val="000000" w:themeColor="text1"/>
                <w:sz w:val="21"/>
                <w:szCs w:val="21"/>
              </w:rPr>
              <w:t>(BZ</w:t>
            </w:r>
            <w:proofErr w:type="gramStart"/>
            <w:r w:rsidRPr="003D7A1E">
              <w:rPr>
                <w:color w:val="000000" w:themeColor="text1"/>
                <w:sz w:val="21"/>
                <w:szCs w:val="21"/>
              </w:rPr>
              <w:t>О</w:t>
            </w:r>
            <w:proofErr w:type="gramEnd"/>
            <w:r w:rsidRPr="003D7A1E">
              <w:rPr>
                <w:color w:val="000000" w:themeColor="text1"/>
                <w:sz w:val="21"/>
                <w:szCs w:val="21"/>
              </w:rPr>
              <w:t>))-500шт</w:t>
            </w:r>
          </w:p>
          <w:p w:rsidR="00BB02E1" w:rsidRPr="003D7A1E" w:rsidRDefault="00BB02E1" w:rsidP="007107CA">
            <w:pPr>
              <w:rPr>
                <w:color w:val="000000" w:themeColor="text1"/>
              </w:rPr>
            </w:pPr>
          </w:p>
        </w:tc>
        <w:tc>
          <w:tcPr>
            <w:tcW w:w="940" w:type="dxa"/>
            <w:shd w:val="clear" w:color="auto" w:fill="auto"/>
            <w:noWrap/>
            <w:vAlign w:val="center"/>
            <w:hideMark/>
          </w:tcPr>
          <w:p w:rsidR="00BB02E1" w:rsidRPr="003D7A1E" w:rsidRDefault="00BB02E1" w:rsidP="007107CA">
            <w:pPr>
              <w:jc w:val="center"/>
              <w:rPr>
                <w:color w:val="000000" w:themeColor="text1"/>
              </w:rPr>
            </w:pPr>
            <w:r>
              <w:rPr>
                <w:color w:val="000000" w:themeColor="text1"/>
              </w:rPr>
              <w:t>160</w:t>
            </w:r>
            <w:r w:rsidRPr="003D7A1E">
              <w:rPr>
                <w:color w:val="000000" w:themeColor="text1"/>
              </w:rPr>
              <w:t>0</w:t>
            </w:r>
          </w:p>
        </w:tc>
        <w:tc>
          <w:tcPr>
            <w:tcW w:w="940" w:type="dxa"/>
            <w:shd w:val="clear" w:color="auto" w:fill="auto"/>
            <w:noWrap/>
            <w:vAlign w:val="center"/>
            <w:hideMark/>
          </w:tcPr>
          <w:p w:rsidR="00BB02E1" w:rsidRPr="003D7A1E" w:rsidRDefault="00BB02E1" w:rsidP="007107CA">
            <w:pPr>
              <w:jc w:val="center"/>
              <w:rPr>
                <w:color w:val="000000" w:themeColor="text1"/>
              </w:rPr>
            </w:pPr>
            <w:proofErr w:type="spellStart"/>
            <w:proofErr w:type="gramStart"/>
            <w:r w:rsidRPr="003D7A1E">
              <w:rPr>
                <w:color w:val="000000" w:themeColor="text1"/>
              </w:rPr>
              <w:t>шт</w:t>
            </w:r>
            <w:proofErr w:type="spellEnd"/>
            <w:proofErr w:type="gramEnd"/>
          </w:p>
        </w:tc>
      </w:tr>
    </w:tbl>
    <w:p w:rsidR="00BB02E1" w:rsidRPr="00BB02E1" w:rsidRDefault="00BB02E1" w:rsidP="00BB02E1">
      <w:pPr>
        <w:pStyle w:val="afe"/>
        <w:rPr>
          <w:b/>
          <w:bCs/>
        </w:rPr>
      </w:pPr>
    </w:p>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61344F">
        <w:rPr>
          <w:sz w:val="22"/>
          <w:szCs w:val="22"/>
        </w:rPr>
        <w:t xml:space="preserve">поставка </w:t>
      </w:r>
      <w:r w:rsidR="0061344F" w:rsidRPr="00607862">
        <w:t>расходных</w:t>
      </w:r>
      <w:r w:rsidR="009F3E36">
        <w:t xml:space="preserve"> материалов для анализатора </w:t>
      </w:r>
      <w:r w:rsidR="0061344F" w:rsidRPr="00607862">
        <w:t>ХТИ</w:t>
      </w:r>
      <w:r w:rsidRPr="00894AA7">
        <w:t xml:space="preserve"> 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70185F">
        <w:rPr>
          <w:bCs/>
          <w:sz w:val="22"/>
          <w:szCs w:val="22"/>
        </w:rPr>
        <w:t>387744</w:t>
      </w:r>
      <w:r w:rsidRPr="00C541DD">
        <w:t xml:space="preserve"> рубл</w:t>
      </w:r>
      <w:r w:rsidR="0070185F">
        <w:t>я 00</w:t>
      </w:r>
      <w:r w:rsidR="00147526">
        <w:t xml:space="preserve"> копе</w:t>
      </w:r>
      <w:r w:rsidR="0070185F">
        <w:t>ек</w:t>
      </w:r>
      <w:r w:rsidR="00147526">
        <w:t xml:space="preserve">, </w:t>
      </w:r>
      <w:bookmarkStart w:id="0" w:name="_GoBack"/>
      <w:r w:rsidR="0055225A">
        <w:rPr>
          <w:sz w:val="22"/>
          <w:szCs w:val="22"/>
        </w:rPr>
        <w:t>с учетом</w:t>
      </w:r>
      <w:r w:rsidRPr="00886435">
        <w:rPr>
          <w:sz w:val="22"/>
          <w:szCs w:val="22"/>
        </w:rPr>
        <w:t xml:space="preserve"> НДС</w:t>
      </w:r>
      <w:r w:rsidR="0055225A">
        <w:rPr>
          <w:sz w:val="22"/>
          <w:szCs w:val="22"/>
        </w:rPr>
        <w:t xml:space="preserve"> 20%</w:t>
      </w:r>
      <w:r w:rsidRPr="00886435">
        <w:rPr>
          <w:color w:val="000000"/>
        </w:rPr>
        <w:t>.</w:t>
      </w:r>
      <w:bookmarkEnd w:id="0"/>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 xml:space="preserve">г. Стерлитамак, ул. </w:t>
      </w:r>
      <w:proofErr w:type="spellStart"/>
      <w:r w:rsidRPr="004E7D69">
        <w:rPr>
          <w:bCs/>
          <w:sz w:val="22"/>
          <w:szCs w:val="22"/>
        </w:rPr>
        <w:t>Нагуманова</w:t>
      </w:r>
      <w:proofErr w:type="spellEnd"/>
      <w:r w:rsidRPr="004E7D69">
        <w:rPr>
          <w:bCs/>
          <w:sz w:val="22"/>
          <w:szCs w:val="22"/>
        </w:rPr>
        <w:t>, д.54</w:t>
      </w:r>
    </w:p>
    <w:p w:rsidR="00B4680B" w:rsidRPr="004E7D69" w:rsidRDefault="00B846A0" w:rsidP="0070303C">
      <w:pPr>
        <w:pStyle w:val="afe"/>
        <w:numPr>
          <w:ilvl w:val="0"/>
          <w:numId w:val="10"/>
        </w:numPr>
        <w:ind w:left="426"/>
        <w:rPr>
          <w:spacing w:val="-9"/>
          <w:sz w:val="22"/>
          <w:szCs w:val="22"/>
        </w:rPr>
      </w:pPr>
      <w:r w:rsidRPr="004E7D69">
        <w:rPr>
          <w:b/>
          <w:bCs/>
          <w:sz w:val="22"/>
          <w:szCs w:val="22"/>
        </w:rPr>
        <w:lastRenderedPageBreak/>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Срок и условия оплаты: </w:t>
      </w:r>
      <w:r w:rsidR="003C5512" w:rsidRPr="004E7D69">
        <w:rPr>
          <w:color w:val="000000"/>
          <w:sz w:val="22"/>
          <w:szCs w:val="22"/>
        </w:rPr>
        <w:t xml:space="preserve">безналичный расчет. </w:t>
      </w:r>
      <w:r w:rsidR="006F2BE2" w:rsidRPr="00586C59">
        <w:t>после подписания накладной (универсального передаточного документа) в течени</w:t>
      </w:r>
      <w:proofErr w:type="gramStart"/>
      <w:r w:rsidR="006F2BE2" w:rsidRPr="00586C59">
        <w:t>и</w:t>
      </w:r>
      <w:proofErr w:type="gramEnd"/>
      <w:r w:rsidR="006F2BE2" w:rsidRPr="00586C59">
        <w:t xml:space="preserve">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Источник финансирования:  </w:t>
      </w:r>
      <w:r w:rsidRPr="004E7D69">
        <w:rPr>
          <w:bCs/>
          <w:sz w:val="22"/>
          <w:szCs w:val="22"/>
        </w:rPr>
        <w:t>доходы, полученные от предпринимательской деятельности.</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70185F">
        <w:rPr>
          <w:b/>
          <w:bCs/>
          <w:color w:val="000000" w:themeColor="text1"/>
          <w:sz w:val="24"/>
          <w:szCs w:val="24"/>
        </w:rPr>
        <w:t>10</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61344F">
        <w:rPr>
          <w:b/>
          <w:bCs/>
          <w:color w:val="000000" w:themeColor="text1"/>
          <w:sz w:val="24"/>
          <w:szCs w:val="24"/>
        </w:rPr>
        <w:t>1</w:t>
      </w:r>
      <w:r w:rsidR="0070185F">
        <w:rPr>
          <w:b/>
          <w:bCs/>
          <w:color w:val="000000" w:themeColor="text1"/>
          <w:sz w:val="24"/>
          <w:szCs w:val="24"/>
        </w:rPr>
        <w:t>7</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61344F">
        <w:rPr>
          <w:b/>
          <w:bCs/>
          <w:color w:val="000000" w:themeColor="text1"/>
          <w:sz w:val="24"/>
          <w:szCs w:val="24"/>
        </w:rPr>
        <w:t>1</w:t>
      </w:r>
      <w:r w:rsidR="0070185F">
        <w:rPr>
          <w:b/>
          <w:bCs/>
          <w:color w:val="000000" w:themeColor="text1"/>
          <w:sz w:val="24"/>
          <w:szCs w:val="24"/>
        </w:rPr>
        <w:t>7</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w:t>
      </w:r>
      <w:r w:rsidRPr="004A7484">
        <w:rPr>
          <w:bCs/>
          <w:sz w:val="22"/>
          <w:szCs w:val="22"/>
        </w:rPr>
        <w:lastRenderedPageBreak/>
        <w:t>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lastRenderedPageBreak/>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w:t>
      </w:r>
      <w:r w:rsidRPr="000F0480">
        <w:rPr>
          <w:sz w:val="22"/>
          <w:szCs w:val="22"/>
        </w:rPr>
        <w:lastRenderedPageBreak/>
        <w:t>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w:t>
      </w:r>
      <w:r w:rsidR="0034210A" w:rsidRPr="004A7484">
        <w:rPr>
          <w:sz w:val="22"/>
          <w:szCs w:val="22"/>
        </w:rPr>
        <w:lastRenderedPageBreak/>
        <w:t>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 xml:space="preserve">ри проведении переторжки допущенным к участию в запросе котировок участникам запроса котировок предоставляется возможность добровольно </w:t>
      </w:r>
      <w:r w:rsidR="0034210A" w:rsidRPr="004A7484">
        <w:rPr>
          <w:sz w:val="22"/>
          <w:szCs w:val="22"/>
        </w:rPr>
        <w:lastRenderedPageBreak/>
        <w:t>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proofErr w:type="gramStart"/>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roofErr w:type="gramEnd"/>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w:t>
      </w:r>
      <w:proofErr w:type="gramStart"/>
      <w:r w:rsidRPr="004A7484">
        <w:rPr>
          <w:sz w:val="22"/>
          <w:szCs w:val="22"/>
        </w:rPr>
        <w:t>При предоставлении заявки документ должен быть сканирован с оригинала, копии, заверенной участником;</w:t>
      </w:r>
      <w:proofErr w:type="gramEnd"/>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lastRenderedPageBreak/>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proofErr w:type="gramStart"/>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roofErr w:type="gramEnd"/>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55225A" w:rsidRDefault="00FE412D" w:rsidP="00FE412D">
      <w:pPr>
        <w:ind w:firstLine="900"/>
        <w:rPr>
          <w:sz w:val="22"/>
          <w:szCs w:val="22"/>
          <w:lang w:val="en-US"/>
        </w:rPr>
      </w:pPr>
      <w:r w:rsidRPr="004A7484">
        <w:rPr>
          <w:sz w:val="22"/>
          <w:szCs w:val="22"/>
          <w:lang w:val="en-US"/>
        </w:rPr>
        <w:t>E</w:t>
      </w:r>
      <w:r w:rsidRPr="0055225A">
        <w:rPr>
          <w:sz w:val="22"/>
          <w:szCs w:val="22"/>
          <w:lang w:val="en-US"/>
        </w:rPr>
        <w:t>-</w:t>
      </w:r>
      <w:r w:rsidRPr="004A7484">
        <w:rPr>
          <w:sz w:val="22"/>
          <w:szCs w:val="22"/>
          <w:lang w:val="en-US"/>
        </w:rPr>
        <w:t>mail</w:t>
      </w:r>
      <w:r w:rsidRPr="0055225A">
        <w:rPr>
          <w:sz w:val="22"/>
          <w:szCs w:val="22"/>
          <w:lang w:val="en-US"/>
        </w:rPr>
        <w:t xml:space="preserve">: </w:t>
      </w:r>
      <w:r w:rsidRPr="00800469">
        <w:rPr>
          <w:sz w:val="22"/>
          <w:szCs w:val="22"/>
          <w:lang w:val="en-US"/>
        </w:rPr>
        <w:t>ubstr</w:t>
      </w:r>
      <w:r w:rsidRPr="0055225A">
        <w:rPr>
          <w:sz w:val="22"/>
          <w:szCs w:val="22"/>
          <w:lang w:val="en-US"/>
        </w:rPr>
        <w:t>1@</w:t>
      </w:r>
      <w:r>
        <w:rPr>
          <w:sz w:val="22"/>
          <w:szCs w:val="22"/>
          <w:lang w:val="en-US"/>
        </w:rPr>
        <w:t>mail</w:t>
      </w:r>
      <w:r w:rsidRPr="0055225A">
        <w:rPr>
          <w:sz w:val="22"/>
          <w:szCs w:val="22"/>
          <w:lang w:val="en-US"/>
        </w:rPr>
        <w:t>.</w:t>
      </w:r>
      <w:r>
        <w:rPr>
          <w:sz w:val="22"/>
          <w:szCs w:val="22"/>
          <w:lang w:val="en-US"/>
        </w:rPr>
        <w:t>ru</w:t>
      </w:r>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proofErr w:type="gramStart"/>
      <w:r w:rsidRPr="008F2902">
        <w:rPr>
          <w:b/>
          <w:i/>
        </w:rPr>
        <w:t>и</w:t>
      </w:r>
      <w:proofErr w:type="gramEnd"/>
      <w:r w:rsidRPr="008F2902">
        <w:rPr>
          <w:b/>
          <w:i/>
        </w:rPr>
        <w:t>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40" w:rsidRDefault="00823A40">
      <w:r>
        <w:separator/>
      </w:r>
    </w:p>
  </w:endnote>
  <w:endnote w:type="continuationSeparator" w:id="0">
    <w:p w:rsidR="00823A40" w:rsidRDefault="0082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5B37" w:rsidRDefault="00165B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225A">
      <w:rPr>
        <w:rStyle w:val="aa"/>
        <w:noProof/>
      </w:rPr>
      <w:t>24</w:t>
    </w:r>
    <w:r>
      <w:rPr>
        <w:rStyle w:val="aa"/>
      </w:rPr>
      <w:fldChar w:fldCharType="end"/>
    </w:r>
  </w:p>
  <w:p w:rsidR="00165B37" w:rsidRDefault="00165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40" w:rsidRDefault="00823A40">
      <w:r>
        <w:separator/>
      </w:r>
    </w:p>
  </w:footnote>
  <w:footnote w:type="continuationSeparator" w:id="0">
    <w:p w:rsidR="00823A40" w:rsidRDefault="0082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r>
      <w:fldChar w:fldCharType="begin"/>
    </w:r>
    <w:r>
      <w:instrText xml:space="preserve"> PAGE   \* MERGEFORMAT </w:instrText>
    </w:r>
    <w:r>
      <w:fldChar w:fldCharType="separate"/>
    </w:r>
    <w:r w:rsidR="0055225A">
      <w:rPr>
        <w:noProof/>
      </w:rPr>
      <w:t>24</w:t>
    </w:r>
    <w:r>
      <w:rPr>
        <w:noProof/>
      </w:rPr>
      <w:fldChar w:fldCharType="end"/>
    </w:r>
  </w:p>
  <w:p w:rsidR="00165B37" w:rsidRDefault="00165B3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37" w:rsidRDefault="00165B37">
    <w:pPr>
      <w:pStyle w:val="af7"/>
      <w:jc w:val="center"/>
    </w:pPr>
  </w:p>
  <w:p w:rsidR="00165B37" w:rsidRDefault="00165B3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2F1A"/>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C51D4"/>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11F"/>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E7D69"/>
    <w:rsid w:val="004F5D07"/>
    <w:rsid w:val="005030CB"/>
    <w:rsid w:val="005032AE"/>
    <w:rsid w:val="00510BC3"/>
    <w:rsid w:val="00537B97"/>
    <w:rsid w:val="00542CCD"/>
    <w:rsid w:val="0055225A"/>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550C5"/>
    <w:rsid w:val="007564BC"/>
    <w:rsid w:val="007616B3"/>
    <w:rsid w:val="00764D77"/>
    <w:rsid w:val="007672C0"/>
    <w:rsid w:val="0077089B"/>
    <w:rsid w:val="00773891"/>
    <w:rsid w:val="00783145"/>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488B"/>
    <w:rsid w:val="008203E0"/>
    <w:rsid w:val="008204D0"/>
    <w:rsid w:val="008220A4"/>
    <w:rsid w:val="00823A40"/>
    <w:rsid w:val="00844972"/>
    <w:rsid w:val="00854C1E"/>
    <w:rsid w:val="00863438"/>
    <w:rsid w:val="008677EF"/>
    <w:rsid w:val="00867F54"/>
    <w:rsid w:val="00873C96"/>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66435"/>
    <w:rsid w:val="009725CE"/>
    <w:rsid w:val="00974B40"/>
    <w:rsid w:val="00983B19"/>
    <w:rsid w:val="00994E31"/>
    <w:rsid w:val="009B2663"/>
    <w:rsid w:val="009B2D60"/>
    <w:rsid w:val="009B4524"/>
    <w:rsid w:val="009B5040"/>
    <w:rsid w:val="009B64AE"/>
    <w:rsid w:val="009C13E0"/>
    <w:rsid w:val="009D552E"/>
    <w:rsid w:val="009E472A"/>
    <w:rsid w:val="009F0AE7"/>
    <w:rsid w:val="009F3E36"/>
    <w:rsid w:val="00A26313"/>
    <w:rsid w:val="00A32FC4"/>
    <w:rsid w:val="00A37FA6"/>
    <w:rsid w:val="00A4125B"/>
    <w:rsid w:val="00A41D86"/>
    <w:rsid w:val="00A426E5"/>
    <w:rsid w:val="00A43A05"/>
    <w:rsid w:val="00A469A4"/>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02E1"/>
    <w:rsid w:val="00BB13C2"/>
    <w:rsid w:val="00BC411F"/>
    <w:rsid w:val="00BE12FC"/>
    <w:rsid w:val="00BE342A"/>
    <w:rsid w:val="00BE4360"/>
    <w:rsid w:val="00BF0708"/>
    <w:rsid w:val="00BF3E2F"/>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AB73-4B48-4754-93CB-2A842942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10514</Words>
  <Characters>59931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3</cp:revision>
  <cp:lastPrinted>2018-08-16T06:31:00Z</cp:lastPrinted>
  <dcterms:created xsi:type="dcterms:W3CDTF">2021-02-10T11:07:00Z</dcterms:created>
  <dcterms:modified xsi:type="dcterms:W3CDTF">2021-02-17T09:50:00Z</dcterms:modified>
</cp:coreProperties>
</file>